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DB32E2">
        <w:rPr>
          <w:rFonts w:ascii="Palatino Linotype" w:hAnsi="Palatino Linotype" w:cs="Arial"/>
          <w:b/>
          <w:bCs/>
        </w:rPr>
        <w:t>3</w:t>
      </w:r>
      <w:r w:rsidR="004D5015">
        <w:rPr>
          <w:rFonts w:ascii="Palatino Linotype" w:hAnsi="Palatino Linotype" w:cs="Arial"/>
          <w:b/>
          <w:bCs/>
        </w:rPr>
        <w:t>59</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DB32E2">
        <w:rPr>
          <w:rFonts w:ascii="Palatino Linotype" w:hAnsi="Palatino Linotype" w:cs="Arial"/>
          <w:b/>
          <w:bCs/>
        </w:rPr>
        <w:t>3</w:t>
      </w:r>
      <w:r w:rsidR="004D5015">
        <w:rPr>
          <w:rFonts w:ascii="Palatino Linotype" w:hAnsi="Palatino Linotype" w:cs="Arial"/>
          <w:b/>
          <w:bCs/>
        </w:rPr>
        <w:t>59</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7162A6">
        <w:rPr>
          <w:rFonts w:ascii="Palatino Linotype" w:hAnsi="Palatino Linotype" w:cs="Arial"/>
          <w:b/>
        </w:rPr>
        <w:t>JAVIER MARTÍNEZ CRUZ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Pr="00535456"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t xml:space="preserve">Tal y como quedó precisado en los resultandos de la resolución materia del presente voto, el particular requirió del Ayuntamiento de Tecámac, en lo sucesivo </w:t>
      </w:r>
      <w:r w:rsidRPr="001F74C2">
        <w:rPr>
          <w:rFonts w:ascii="Palatino Linotype" w:hAnsi="Palatino Linotype"/>
          <w:b/>
        </w:rPr>
        <w:t>EL SUJETO OBLIGADO</w:t>
      </w:r>
      <w:r w:rsidRPr="001F74C2">
        <w:rPr>
          <w:rFonts w:ascii="Palatino Linotype" w:hAnsi="Palatino Linotype"/>
        </w:rPr>
        <w:t>, lo siguiente:</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lastRenderedPageBreak/>
        <w:t xml:space="preserve">1. El permiso o permisos para laborar, operar, vender bebidas alcohólicas otorgado a la taquería denominada “Los Compadres”. </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2. El permiso para poder vender comida en la vía pública.</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 xml:space="preserve">3. El nombre del servidor público que autorizo los permisos de venta de alcohol y venta de comida en la vía pública. </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4. El permiso para utilizar la vía pública para poner mesas</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En el caso de la inexistencia de los permisos</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6. El número de teléfono del servidor público encargado del operativo de verificación a los comercios.</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 xml:space="preserve">7. El procedimiento de quejas por la venta de bebidas alcohólicas. </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 xml:space="preserve">8. El nombre del servidor público y cargo público, facultado para realizar la inspección física y realizar la clausura de locales que no cuentan con permiso para laborar ni vender tacos y bebidas alcohólicas. </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9. El procedimiento de verificación de los establecimientos mercantiles.</w:t>
      </w:r>
    </w:p>
    <w:p w:rsidR="00E0177B" w:rsidRPr="001F74C2" w:rsidRDefault="00E0177B" w:rsidP="00E0177B">
      <w:pPr>
        <w:spacing w:before="100" w:beforeAutospacing="1" w:after="100" w:afterAutospacing="1" w:line="360" w:lineRule="auto"/>
        <w:ind w:left="851"/>
        <w:jc w:val="both"/>
        <w:rPr>
          <w:rFonts w:ascii="Palatino Linotype" w:hAnsi="Palatino Linotype"/>
        </w:rPr>
      </w:pPr>
      <w:r w:rsidRPr="001F74C2">
        <w:rPr>
          <w:rFonts w:ascii="Palatino Linotype" w:hAnsi="Palatino Linotype"/>
        </w:rPr>
        <w:t xml:space="preserve">10. El nombre de los servidores públicos encargados de recibir las quejas, (desde ventanilla hasta el servidor público que tiene las facultades de dar </w:t>
      </w:r>
      <w:r w:rsidRPr="001F74C2">
        <w:rPr>
          <w:rFonts w:ascii="Palatino Linotype" w:hAnsi="Palatino Linotype"/>
          <w:i/>
        </w:rPr>
        <w:t>contratación (Sic)</w:t>
      </w:r>
      <w:r w:rsidRPr="001F74C2">
        <w:rPr>
          <w:rFonts w:ascii="Palatino Linotype" w:hAnsi="Palatino Linotype"/>
        </w:rPr>
        <w:t xml:space="preserve"> a la queja).</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lastRenderedPageBreak/>
        <w:t xml:space="preserve">Al respecto, </w:t>
      </w:r>
      <w:r w:rsidRPr="001F74C2">
        <w:rPr>
          <w:rFonts w:ascii="Palatino Linotype" w:hAnsi="Palatino Linotype"/>
          <w:b/>
        </w:rPr>
        <w:t>EL SUJETO OBLIGADO</w:t>
      </w:r>
      <w:r w:rsidRPr="001F74C2">
        <w:rPr>
          <w:rFonts w:ascii="Palatino Linotype" w:hAnsi="Palatino Linotype"/>
        </w:rPr>
        <w:t xml:space="preserve"> respondió al particular que el área encargada de realizar verificaciones a unidades económicas es la Jefatura de Regulación y Verificación Administrativa, con número de telefónico 59389400 extensión 113 y correo institucional regulacion@tecamac.gob.mx y que el fundamento legal para realizar el procedimiento administrativo para verificar si las un</w:t>
      </w:r>
      <w:r w:rsidR="000B74DA">
        <w:rPr>
          <w:rFonts w:ascii="Palatino Linotype" w:hAnsi="Palatino Linotype"/>
        </w:rPr>
        <w:t>idades económicas cuentan con cé</w:t>
      </w:r>
      <w:r w:rsidRPr="001F74C2">
        <w:rPr>
          <w:rFonts w:ascii="Palatino Linotype" w:hAnsi="Palatino Linotype"/>
        </w:rPr>
        <w:t>dula o licencia de funcionamiento vigente para desempeñar la actividad se encuentra establecido en los artículos 21, fracción IV de la Ley de Competitividad u Ordenamiento Comercial del Estado de México y 135 de Bando Municipal vigente para el año 2018.</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t xml:space="preserve">Asimismo, </w:t>
      </w:r>
      <w:r w:rsidRPr="001F74C2">
        <w:rPr>
          <w:rFonts w:ascii="Palatino Linotype" w:hAnsi="Palatino Linotype"/>
          <w:b/>
        </w:rPr>
        <w:t>EL SUJETO OBLIGADO</w:t>
      </w:r>
      <w:r w:rsidRPr="001F74C2">
        <w:rPr>
          <w:rFonts w:ascii="Palatino Linotype" w:hAnsi="Palatino Linotype"/>
        </w:rPr>
        <w:t xml:space="preserve"> remitió dos certificados de funcionamiento de la taquería mencionada en la solicitud y un acta de verificación.</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t xml:space="preserve">Inconforme con dicha respuesta, el ahora </w:t>
      </w:r>
      <w:r w:rsidRPr="001F74C2">
        <w:rPr>
          <w:rFonts w:ascii="Palatino Linotype" w:hAnsi="Palatino Linotype"/>
          <w:b/>
        </w:rPr>
        <w:t>RECURRENTE</w:t>
      </w:r>
      <w:r w:rsidRPr="001F74C2">
        <w:rPr>
          <w:rFonts w:ascii="Palatino Linotype" w:hAnsi="Palatino Linotype"/>
        </w:rPr>
        <w:t xml:space="preserve"> interpuso el medio de defensa de mérito</w:t>
      </w:r>
      <w:r>
        <w:rPr>
          <w:rFonts w:ascii="Palatino Linotype" w:hAnsi="Palatino Linotype"/>
        </w:rPr>
        <w:t>, en el cual argumentó</w:t>
      </w:r>
      <w:r w:rsidRPr="001F74C2">
        <w:rPr>
          <w:rFonts w:ascii="Palatino Linotype" w:hAnsi="Palatino Linotype"/>
        </w:rPr>
        <w:t xml:space="preserve"> que no se le entregó el marco normativo ni el nombre del servidor público que firma los permisos.</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t xml:space="preserve">Posteriormente, </w:t>
      </w:r>
      <w:r w:rsidRPr="001F74C2">
        <w:rPr>
          <w:rFonts w:ascii="Palatino Linotype" w:hAnsi="Palatino Linotype"/>
          <w:b/>
        </w:rPr>
        <w:t>EL SUJETO OBLIGADO</w:t>
      </w:r>
      <w:r w:rsidRPr="001F74C2">
        <w:rPr>
          <w:rFonts w:ascii="Palatino Linotype" w:hAnsi="Palatino Linotype"/>
        </w:rPr>
        <w:t xml:space="preserve"> rindió su Informe Justificado, en el cual </w:t>
      </w:r>
      <w:r>
        <w:rPr>
          <w:rFonts w:ascii="Palatino Linotype" w:hAnsi="Palatino Linotype"/>
        </w:rPr>
        <w:t>manifestó</w:t>
      </w:r>
      <w:r w:rsidRPr="001F74C2">
        <w:rPr>
          <w:rFonts w:ascii="Palatino Linotype" w:hAnsi="Palatino Linotype"/>
        </w:rPr>
        <w:t>, en lo que interesa, que el particular no solicitó el marco normativo</w:t>
      </w:r>
      <w:r>
        <w:rPr>
          <w:rFonts w:ascii="Palatino Linotype" w:hAnsi="Palatino Linotype"/>
        </w:rPr>
        <w:t xml:space="preserve"> y</w:t>
      </w:r>
      <w:r w:rsidRPr="001F74C2">
        <w:rPr>
          <w:rFonts w:ascii="Palatino Linotype" w:hAnsi="Palatino Linotype"/>
        </w:rPr>
        <w:t xml:space="preserve"> que la persona que firma los permisos y el nombre del inspector verificador se </w:t>
      </w:r>
      <w:proofErr w:type="gramStart"/>
      <w:r w:rsidRPr="001F74C2">
        <w:rPr>
          <w:rFonts w:ascii="Palatino Linotype" w:hAnsi="Palatino Linotype"/>
        </w:rPr>
        <w:t>visualizan</w:t>
      </w:r>
      <w:proofErr w:type="gramEnd"/>
      <w:r w:rsidRPr="001F74C2">
        <w:rPr>
          <w:rFonts w:ascii="Palatino Linotype" w:hAnsi="Palatino Linotype"/>
        </w:rPr>
        <w:t xml:space="preserve"> en los documentos remitidos como respuesta.</w:t>
      </w:r>
    </w:p>
    <w:p w:rsidR="00E0177B" w:rsidRPr="001F74C2" w:rsidRDefault="00E0177B" w:rsidP="00E0177B">
      <w:pPr>
        <w:spacing w:before="100" w:beforeAutospacing="1" w:after="100" w:afterAutospacing="1" w:line="360" w:lineRule="auto"/>
        <w:jc w:val="both"/>
        <w:rPr>
          <w:rFonts w:ascii="Palatino Linotype" w:hAnsi="Palatino Linotype" w:cs="Arial"/>
          <w:b/>
        </w:rPr>
      </w:pPr>
      <w:r w:rsidRPr="001F74C2">
        <w:rPr>
          <w:rFonts w:ascii="Palatino Linotype" w:hAnsi="Palatino Linotype"/>
        </w:rPr>
        <w:t xml:space="preserve">Bajo ese contexto y previo análisis de las constancias que integran el expediente electrónico del </w:t>
      </w:r>
      <w:r w:rsidRPr="001F74C2">
        <w:rPr>
          <w:rFonts w:ascii="Palatino Linotype" w:hAnsi="Palatino Linotype"/>
          <w:b/>
        </w:rPr>
        <w:t>SAIMEX</w:t>
      </w:r>
      <w:r w:rsidRPr="001F74C2">
        <w:rPr>
          <w:rFonts w:ascii="Palatino Linotype" w:hAnsi="Palatino Linotype"/>
        </w:rPr>
        <w:t xml:space="preserve">, la Ponencia Resolutora determinó sobreseer en el Recurso de </w:t>
      </w:r>
      <w:r w:rsidRPr="001F74C2">
        <w:rPr>
          <w:rFonts w:ascii="Palatino Linotype" w:hAnsi="Palatino Linotype"/>
        </w:rPr>
        <w:lastRenderedPageBreak/>
        <w:t xml:space="preserve">Revisión al estimar que se </w:t>
      </w:r>
      <w:r w:rsidR="000B74DA">
        <w:rPr>
          <w:rFonts w:ascii="Palatino Linotype" w:hAnsi="Palatino Linotype"/>
        </w:rPr>
        <w:t>actualizaba</w:t>
      </w:r>
      <w:r w:rsidRPr="001F74C2">
        <w:rPr>
          <w:rFonts w:ascii="Palatino Linotype" w:hAnsi="Palatino Linotype"/>
        </w:rPr>
        <w:t xml:space="preserve"> la figura de cosa juzgada puesto que consideró que ya se había resuelto el fondo del asunto en la resolución </w:t>
      </w:r>
      <w:r w:rsidR="000B74DA">
        <w:rPr>
          <w:rFonts w:ascii="Palatino Linotype" w:hAnsi="Palatino Linotype"/>
        </w:rPr>
        <w:t xml:space="preserve">del diverso </w:t>
      </w:r>
      <w:r w:rsidRPr="001F74C2">
        <w:rPr>
          <w:rFonts w:ascii="Palatino Linotype" w:hAnsi="Palatino Linotype" w:cs="Arial"/>
          <w:b/>
        </w:rPr>
        <w:t>04162/INFOEM/IP/RR/2018.</w:t>
      </w:r>
    </w:p>
    <w:p w:rsidR="00E0177B" w:rsidRPr="001F74C2" w:rsidRDefault="00E0177B" w:rsidP="00E0177B">
      <w:pPr>
        <w:spacing w:before="100" w:beforeAutospacing="1" w:after="100" w:afterAutospacing="1" w:line="360" w:lineRule="auto"/>
        <w:jc w:val="both"/>
        <w:rPr>
          <w:rFonts w:ascii="Palatino Linotype" w:hAnsi="Palatino Linotype" w:cs="Arial"/>
        </w:rPr>
      </w:pPr>
      <w:r w:rsidRPr="001F74C2">
        <w:rPr>
          <w:rFonts w:ascii="Palatino Linotype" w:hAnsi="Palatino Linotype" w:cstheme="minorBidi"/>
          <w:lang w:eastAsia="en-US"/>
        </w:rPr>
        <w:t>Ahora bien, la suscrita reitera que comparte el sentido en el que se resuelve el recurso de revisión; empero, considera que</w:t>
      </w:r>
      <w:r w:rsidRPr="001F74C2">
        <w:rPr>
          <w:rFonts w:ascii="Palatino Linotype" w:hAnsi="Palatino Linotype"/>
        </w:rPr>
        <w:t xml:space="preserve"> la figura de cosa juzgada opera </w:t>
      </w:r>
      <w:r w:rsidRPr="001F74C2">
        <w:rPr>
          <w:rFonts w:ascii="Palatino Linotype" w:hAnsi="Palatino Linotype" w:cs="Arial"/>
        </w:rPr>
        <w:t>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 Sirve de sustento a lo anterior, la siguiente tesis jurisprudencial:</w:t>
      </w:r>
    </w:p>
    <w:p w:rsidR="00E0177B" w:rsidRPr="000B74DA" w:rsidRDefault="00E0177B" w:rsidP="00E0177B">
      <w:pPr>
        <w:spacing w:before="100" w:beforeAutospacing="1" w:after="100" w:afterAutospacing="1"/>
        <w:ind w:left="851" w:right="1043"/>
        <w:jc w:val="both"/>
        <w:rPr>
          <w:rFonts w:ascii="Palatino Linotype" w:hAnsi="Palatino Linotype"/>
          <w:i/>
          <w:sz w:val="20"/>
        </w:rPr>
      </w:pPr>
      <w:r w:rsidRPr="000B74DA">
        <w:rPr>
          <w:rFonts w:ascii="Palatino Linotype" w:hAnsi="Palatino Linotype"/>
          <w:b/>
          <w:i/>
          <w:sz w:val="20"/>
        </w:rPr>
        <w:t>“COSA JUZGADA. EL ARTÍCULO 61, FRACCIÓN XI, DE LA LEY DE AMPARO QUE LA PREVÉ COMO CAUSA DE IMPROCEDENCIA DEL JUICIO RELATIVO, ES COMPATIBLE CON EL DERECHO A LA SEGURIDAD JURÍDICA.</w:t>
      </w:r>
      <w:r w:rsidRPr="000B74DA">
        <w:rPr>
          <w:rFonts w:ascii="Palatino Linotype" w:hAnsi="Palatino Linotype"/>
          <w:i/>
          <w:sz w:val="20"/>
        </w:rPr>
        <w:t xml:space="preserve"> 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0B74DA">
        <w:rPr>
          <w:rFonts w:ascii="Palatino Linotype" w:hAnsi="Palatino Linotype"/>
          <w:i/>
          <w:sz w:val="20"/>
        </w:rPr>
        <w:t>inatacabilidad</w:t>
      </w:r>
      <w:proofErr w:type="spellEnd"/>
      <w:r w:rsidRPr="000B74DA">
        <w:rPr>
          <w:rFonts w:ascii="Palatino Linotype" w:hAnsi="Palatino Linotype"/>
          <w:i/>
          <w:sz w:val="20"/>
        </w:rPr>
        <w:t xml:space="preserve"> a través de un diverso juicio constitucional, siempre que tal determinación se haya realizado en atención a razones o circunstancias que hagan </w:t>
      </w:r>
      <w:proofErr w:type="spellStart"/>
      <w:r w:rsidRPr="000B74DA">
        <w:rPr>
          <w:rFonts w:ascii="Palatino Linotype" w:hAnsi="Palatino Linotype"/>
          <w:i/>
          <w:sz w:val="20"/>
        </w:rPr>
        <w:t>inejercitable</w:t>
      </w:r>
      <w:proofErr w:type="spellEnd"/>
      <w:r w:rsidRPr="000B74DA">
        <w:rPr>
          <w:rFonts w:ascii="Palatino Linotype" w:hAnsi="Palatino Linotype"/>
          <w:i/>
          <w:sz w:val="20"/>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E0177B" w:rsidRPr="001F74C2" w:rsidRDefault="00E0177B" w:rsidP="00E0177B">
      <w:pPr>
        <w:spacing w:before="100" w:beforeAutospacing="1" w:after="100" w:afterAutospacing="1" w:line="360" w:lineRule="auto"/>
        <w:jc w:val="both"/>
        <w:rPr>
          <w:rFonts w:ascii="Palatino Linotype" w:hAnsi="Palatino Linotype"/>
        </w:rPr>
      </w:pPr>
      <w:r w:rsidRPr="001F74C2">
        <w:rPr>
          <w:rFonts w:ascii="Palatino Linotype" w:hAnsi="Palatino Linotype"/>
        </w:rPr>
        <w:lastRenderedPageBreak/>
        <w:t xml:space="preserve">En esa virtud, la resolución a que hace referencia la Ponencia Resolutora fue notificada el día veintiocho de enero de dos mil diecinueve; por lo que, el plazo para que </w:t>
      </w:r>
      <w:r w:rsidRPr="001F74C2">
        <w:rPr>
          <w:rFonts w:ascii="Palatino Linotype" w:hAnsi="Palatino Linotype"/>
          <w:b/>
        </w:rPr>
        <w:t>EL SUJETO OBLIGADO</w:t>
      </w:r>
      <w:r w:rsidRPr="001F74C2">
        <w:rPr>
          <w:rFonts w:ascii="Palatino Linotype" w:hAnsi="Palatino Linotype"/>
        </w:rPr>
        <w:t xml:space="preserve"> diera cumplimiento a dicha resolución, a que hacen referencia los artículos 186, último párrafo y 189, segundo párrafo de la Ley de Transparencia y Acceso a la Información Pública, aún no ha</w:t>
      </w:r>
      <w:r>
        <w:rPr>
          <w:rFonts w:ascii="Palatino Linotype" w:hAnsi="Palatino Linotype"/>
        </w:rPr>
        <w:t>bía</w:t>
      </w:r>
      <w:r w:rsidRPr="001F74C2">
        <w:rPr>
          <w:rFonts w:ascii="Palatino Linotype" w:hAnsi="Palatino Linotype"/>
        </w:rPr>
        <w:t xml:space="preserve"> fenecido al momento de someter a Consideración del Pleno de este Instituto el Recurso de Revisión materia del presente voto.</w:t>
      </w:r>
      <w:r>
        <w:rPr>
          <w:rFonts w:ascii="Palatino Linotype" w:hAnsi="Palatino Linotype"/>
        </w:rPr>
        <w:t xml:space="preserve"> Por ello</w:t>
      </w:r>
      <w:r w:rsidRPr="001F74C2">
        <w:rPr>
          <w:rFonts w:ascii="Palatino Linotype" w:hAnsi="Palatino Linotype"/>
        </w:rPr>
        <w:t>, la que suscribe estima que al momento de resolver el recurso de revisión de análisis a</w:t>
      </w:r>
      <w:r>
        <w:rPr>
          <w:rFonts w:ascii="Palatino Linotype" w:hAnsi="Palatino Linotype"/>
        </w:rPr>
        <w:t>ú</w:t>
      </w:r>
      <w:r w:rsidRPr="001F74C2">
        <w:rPr>
          <w:rFonts w:ascii="Palatino Linotype" w:hAnsi="Palatino Linotype"/>
        </w:rPr>
        <w:t>n no se había configurado la figura de cosa juzgada.</w:t>
      </w:r>
    </w:p>
    <w:p w:rsidR="00E0177B" w:rsidRPr="001F74C2" w:rsidRDefault="00E0177B" w:rsidP="00E0177B">
      <w:pPr>
        <w:spacing w:before="100" w:beforeAutospacing="1" w:after="100" w:afterAutospacing="1" w:line="360" w:lineRule="auto"/>
        <w:jc w:val="both"/>
        <w:rPr>
          <w:rFonts w:ascii="Palatino Linotype" w:hAnsi="Palatino Linotype" w:cstheme="minorBidi"/>
          <w:lang w:eastAsia="en-US"/>
        </w:rPr>
      </w:pPr>
      <w:r w:rsidRPr="001F74C2">
        <w:rPr>
          <w:rFonts w:ascii="Palatino Linotype" w:hAnsi="Palatino Linotype"/>
        </w:rPr>
        <w:t>Por otra parte, la suscrita estima que</w:t>
      </w:r>
      <w:r w:rsidRPr="001F74C2">
        <w:rPr>
          <w:rFonts w:ascii="Palatino Linotype" w:hAnsi="Palatino Linotype" w:cstheme="minorBidi"/>
          <w:lang w:eastAsia="en-US"/>
        </w:rPr>
        <w:t xml:space="preserve"> la Ponencia Resolutora debió haber analizado la petición adicional requerida por </w:t>
      </w:r>
      <w:r w:rsidRPr="001F74C2">
        <w:rPr>
          <w:rFonts w:ascii="Palatino Linotype" w:hAnsi="Palatino Linotype" w:cstheme="minorBidi"/>
          <w:b/>
          <w:lang w:eastAsia="en-US"/>
        </w:rPr>
        <w:t>EL RECURRENTE</w:t>
      </w:r>
      <w:r w:rsidRPr="001F74C2">
        <w:rPr>
          <w:rFonts w:ascii="Palatino Linotype" w:hAnsi="Palatino Linotype" w:cstheme="minorBidi"/>
          <w:lang w:eastAsia="en-US"/>
        </w:rPr>
        <w:t xml:space="preserve">, consistente en el marco normativo del </w:t>
      </w:r>
      <w:r w:rsidRPr="001F74C2">
        <w:rPr>
          <w:rFonts w:ascii="Palatino Linotype" w:hAnsi="Palatino Linotype" w:cstheme="minorBidi"/>
          <w:b/>
          <w:lang w:eastAsia="en-US"/>
        </w:rPr>
        <w:t>SUJETO OBLIGADO</w:t>
      </w:r>
      <w:r w:rsidR="000B74DA">
        <w:rPr>
          <w:rFonts w:ascii="Palatino Linotype" w:hAnsi="Palatino Linotype" w:cstheme="minorBidi"/>
          <w:lang w:eastAsia="en-US"/>
        </w:rPr>
        <w:t xml:space="preserve"> y la solicitud inherente a los permisos </w:t>
      </w:r>
      <w:r w:rsidR="000B74DA" w:rsidRPr="00666E38">
        <w:rPr>
          <w:rFonts w:ascii="Palatino Linotype" w:hAnsi="Palatino Linotype"/>
          <w:color w:val="000000"/>
        </w:rPr>
        <w:t>para utilizar la vía pública para poner mesas.</w:t>
      </w:r>
    </w:p>
    <w:p w:rsidR="00E0177B" w:rsidRDefault="00E0177B" w:rsidP="00E0177B">
      <w:pPr>
        <w:spacing w:before="100" w:beforeAutospacing="1" w:after="100" w:afterAutospacing="1" w:line="360" w:lineRule="auto"/>
        <w:jc w:val="both"/>
        <w:rPr>
          <w:rFonts w:ascii="Palatino Linotype" w:hAnsi="Palatino Linotype" w:cs="Arial"/>
        </w:rPr>
      </w:pPr>
      <w:r w:rsidRPr="001F74C2">
        <w:rPr>
          <w:rFonts w:ascii="Palatino Linotype" w:hAnsi="Palatino Linotype" w:cstheme="minorBidi"/>
          <w:lang w:eastAsia="en-US"/>
        </w:rPr>
        <w:t xml:space="preserve">Lo anterior es así, debido a que </w:t>
      </w:r>
      <w:r w:rsidRPr="001F74C2">
        <w:rPr>
          <w:rFonts w:ascii="Palatino Linotype" w:hAnsi="Palatino Linotype"/>
        </w:rPr>
        <w:t>se advierte que, dicho</w:t>
      </w:r>
      <w:r w:rsidR="000B74DA">
        <w:rPr>
          <w:rFonts w:ascii="Palatino Linotype" w:hAnsi="Palatino Linotype"/>
        </w:rPr>
        <w:t>s</w:t>
      </w:r>
      <w:r w:rsidRPr="001F74C2">
        <w:rPr>
          <w:rFonts w:ascii="Palatino Linotype" w:hAnsi="Palatino Linotype"/>
        </w:rPr>
        <w:t xml:space="preserve"> requerimiento</w:t>
      </w:r>
      <w:r w:rsidR="000B74DA">
        <w:rPr>
          <w:rFonts w:ascii="Palatino Linotype" w:hAnsi="Palatino Linotype"/>
        </w:rPr>
        <w:t>s</w:t>
      </w:r>
      <w:r w:rsidRPr="001F74C2">
        <w:rPr>
          <w:rFonts w:ascii="Palatino Linotype" w:hAnsi="Palatino Linotype"/>
        </w:rPr>
        <w:t xml:space="preserve">, </w:t>
      </w:r>
      <w:r w:rsidR="000B74DA">
        <w:rPr>
          <w:rFonts w:ascii="Palatino Linotype" w:hAnsi="Palatino Linotype" w:cs="Arial"/>
          <w:b/>
        </w:rPr>
        <w:t>no formaron</w:t>
      </w:r>
      <w:r w:rsidRPr="001F74C2">
        <w:rPr>
          <w:rFonts w:ascii="Palatino Linotype" w:hAnsi="Palatino Linotype" w:cs="Arial"/>
          <w:b/>
        </w:rPr>
        <w:t xml:space="preserve"> parte </w:t>
      </w:r>
      <w:r w:rsidRPr="001F74C2">
        <w:rPr>
          <w:rFonts w:ascii="Palatino Linotype" w:hAnsi="Palatino Linotype" w:cs="Arial"/>
        </w:rPr>
        <w:t xml:space="preserve">de la solicitud de acceso a la información pública </w:t>
      </w:r>
      <w:r w:rsidRPr="001F74C2">
        <w:rPr>
          <w:rFonts w:ascii="Palatino Linotype" w:hAnsi="Palatino Linotype"/>
          <w:b/>
          <w:bCs/>
        </w:rPr>
        <w:t>00145/INFOEM/IP/2018</w:t>
      </w:r>
      <w:r w:rsidRPr="001F74C2">
        <w:rPr>
          <w:rFonts w:ascii="Palatino Linotype" w:hAnsi="Palatino Linotype"/>
          <w:bCs/>
        </w:rPr>
        <w:t>; por lo tanto, la</w:t>
      </w:r>
      <w:r w:rsidR="000B74DA">
        <w:rPr>
          <w:rFonts w:ascii="Palatino Linotype" w:hAnsi="Palatino Linotype"/>
          <w:bCs/>
        </w:rPr>
        <w:t>s</w:t>
      </w:r>
      <w:r w:rsidRPr="001F74C2">
        <w:rPr>
          <w:rFonts w:ascii="Palatino Linotype" w:hAnsi="Palatino Linotype"/>
          <w:bCs/>
        </w:rPr>
        <w:t xml:space="preserve"> solicitud</w:t>
      </w:r>
      <w:r w:rsidR="000B74DA">
        <w:rPr>
          <w:rFonts w:ascii="Palatino Linotype" w:hAnsi="Palatino Linotype"/>
          <w:bCs/>
        </w:rPr>
        <w:t>es</w:t>
      </w:r>
      <w:r w:rsidRPr="001F74C2">
        <w:rPr>
          <w:rFonts w:ascii="Palatino Linotype" w:hAnsi="Palatino Linotype"/>
          <w:bCs/>
        </w:rPr>
        <w:t xml:space="preserve"> aludida</w:t>
      </w:r>
      <w:r w:rsidR="000B74DA">
        <w:rPr>
          <w:rFonts w:ascii="Palatino Linotype" w:hAnsi="Palatino Linotype"/>
          <w:bCs/>
        </w:rPr>
        <w:t>s</w:t>
      </w:r>
      <w:r w:rsidRPr="001F74C2">
        <w:rPr>
          <w:rFonts w:ascii="Palatino Linotype" w:hAnsi="Palatino Linotype"/>
          <w:bCs/>
        </w:rPr>
        <w:t xml:space="preserve"> debi</w:t>
      </w:r>
      <w:r w:rsidR="000B74DA">
        <w:rPr>
          <w:rFonts w:ascii="Palatino Linotype" w:hAnsi="Palatino Linotype"/>
          <w:bCs/>
        </w:rPr>
        <w:t>eron</w:t>
      </w:r>
      <w:r w:rsidRPr="001F74C2">
        <w:rPr>
          <w:rFonts w:ascii="Palatino Linotype" w:hAnsi="Palatino Linotype"/>
          <w:bCs/>
        </w:rPr>
        <w:t xml:space="preserve"> ser considerada</w:t>
      </w:r>
      <w:r w:rsidR="000B74DA">
        <w:rPr>
          <w:rFonts w:ascii="Palatino Linotype" w:hAnsi="Palatino Linotype"/>
          <w:bCs/>
        </w:rPr>
        <w:t>s</w:t>
      </w:r>
      <w:r w:rsidRPr="001F74C2">
        <w:rPr>
          <w:rFonts w:ascii="Palatino Linotype" w:hAnsi="Palatino Linotype"/>
          <w:bCs/>
        </w:rPr>
        <w:t xml:space="preserve"> como una </w:t>
      </w:r>
      <w:r w:rsidRPr="001F74C2">
        <w:rPr>
          <w:rFonts w:ascii="Palatino Linotype" w:hAnsi="Palatino Linotype" w:cs="Arial"/>
        </w:rPr>
        <w:t xml:space="preserve">petición adicional o </w:t>
      </w:r>
      <w:r w:rsidRPr="001F74C2">
        <w:rPr>
          <w:rFonts w:ascii="Palatino Linotype" w:hAnsi="Palatino Linotype" w:cs="Arial"/>
          <w:i/>
        </w:rPr>
        <w:t>plus petitio</w:t>
      </w:r>
      <w:r w:rsidRPr="001F74C2">
        <w:rPr>
          <w:rFonts w:ascii="Palatino Linotype" w:hAnsi="Palatino Linotype" w:cs="Arial"/>
        </w:rPr>
        <w:t>.</w:t>
      </w:r>
    </w:p>
    <w:p w:rsidR="001701C9" w:rsidRPr="001701C9" w:rsidRDefault="001701C9" w:rsidP="00E0177B">
      <w:pPr>
        <w:spacing w:before="100" w:beforeAutospacing="1" w:after="100" w:afterAutospacing="1" w:line="360" w:lineRule="auto"/>
        <w:jc w:val="both"/>
        <w:rPr>
          <w:rFonts w:ascii="Palatino Linotype" w:hAnsi="Palatino Linotype" w:cstheme="minorBidi"/>
          <w:sz w:val="10"/>
          <w:szCs w:val="10"/>
        </w:rPr>
      </w:pPr>
    </w:p>
    <w:p w:rsidR="00E0177B" w:rsidRPr="001F74C2" w:rsidRDefault="00E0177B" w:rsidP="00E0177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F74C2">
        <w:rPr>
          <w:rFonts w:ascii="Palatino Linotype" w:hAnsi="Palatino Linotype" w:cs="Arial"/>
          <w:lang w:eastAsia="es-MX"/>
        </w:rPr>
        <w:t xml:space="preserve">De esta forma, al realizarse una solicitud adicional a manera de acto impugnado o razones o motivos de inconformidad ésta resulta </w:t>
      </w:r>
      <w:r w:rsidRPr="001F74C2">
        <w:rPr>
          <w:rFonts w:ascii="Palatino Linotype" w:hAnsi="Palatino Linotype" w:cs="Arial"/>
          <w:b/>
          <w:lang w:eastAsia="es-MX"/>
        </w:rPr>
        <w:t>inoperante e inatendible</w:t>
      </w:r>
      <w:r w:rsidRPr="001F74C2">
        <w:rPr>
          <w:rFonts w:ascii="Palatino Linotype" w:hAnsi="Palatino Linotype" w:cs="Arial"/>
          <w:lang w:eastAsia="es-MX"/>
        </w:rPr>
        <w:t xml:space="preserve">, esto es así, debido a que al ser argumentos que no se plantearon ante </w:t>
      </w:r>
      <w:r w:rsidRPr="001F74C2">
        <w:rPr>
          <w:rFonts w:ascii="Palatino Linotype" w:hAnsi="Palatino Linotype" w:cs="Arial"/>
          <w:b/>
          <w:lang w:eastAsia="es-MX"/>
        </w:rPr>
        <w:t xml:space="preserve">EL SUJETO OBLIGADO </w:t>
      </w:r>
      <w:r w:rsidRPr="001F74C2">
        <w:rPr>
          <w:rFonts w:ascii="Palatino Linotype" w:hAnsi="Palatino Linotype" w:cs="Arial"/>
          <w:lang w:eastAsia="es-MX"/>
        </w:rPr>
        <w:t xml:space="preserve">que respondió a la solicitud de acceso a la información, respuesta que constituye el acto </w:t>
      </w:r>
      <w:r w:rsidRPr="001F74C2">
        <w:rPr>
          <w:rFonts w:ascii="Palatino Linotype" w:hAnsi="Palatino Linotype" w:cs="Arial"/>
          <w:lang w:eastAsia="es-MX"/>
        </w:rPr>
        <w:lastRenderedPageBreak/>
        <w:t xml:space="preserve">que se reclama o impugna; resultaría injustificado examinar tales argumentos pues éstos no fueron del conocimiento del </w:t>
      </w:r>
      <w:r w:rsidRPr="001F74C2">
        <w:rPr>
          <w:rFonts w:ascii="Palatino Linotype" w:hAnsi="Palatino Linotype" w:cs="Arial"/>
          <w:b/>
          <w:lang w:eastAsia="es-MX"/>
        </w:rPr>
        <w:t xml:space="preserve">SUJETO OBLIGADO </w:t>
      </w:r>
      <w:r w:rsidRPr="001F74C2">
        <w:rPr>
          <w:rFonts w:ascii="Palatino Linotype" w:hAnsi="Palatino Linotype" w:cs="Arial"/>
          <w:lang w:eastAsia="es-MX"/>
        </w:rPr>
        <w:t>al momento de dar respuesta a la solicitud de acceso a la información pública</w:t>
      </w:r>
      <w:r w:rsidR="002C6DCC">
        <w:rPr>
          <w:rFonts w:ascii="Palatino Linotype" w:hAnsi="Palatino Linotype" w:cs="Arial"/>
          <w:lang w:eastAsia="es-MX"/>
        </w:rPr>
        <w:t>;</w:t>
      </w:r>
      <w:r w:rsidRPr="001F74C2">
        <w:rPr>
          <w:rFonts w:ascii="Palatino Linotype" w:hAnsi="Palatino Linotype" w:cs="Arial"/>
          <w:lang w:eastAsia="es-MX"/>
        </w:rPr>
        <w:t xml:space="preserve"> por lo que</w:t>
      </w:r>
      <w:r w:rsidR="002C6DCC">
        <w:rPr>
          <w:rFonts w:ascii="Palatino Linotype" w:hAnsi="Palatino Linotype" w:cs="Arial"/>
          <w:lang w:eastAsia="es-MX"/>
        </w:rPr>
        <w:t>,</w:t>
      </w:r>
      <w:r w:rsidRPr="001F74C2">
        <w:rPr>
          <w:rFonts w:ascii="Palatino Linotype" w:hAnsi="Palatino Linotype" w:cs="Arial"/>
          <w:lang w:eastAsia="es-MX"/>
        </w:rPr>
        <w:t xml:space="preserve"> no tuvo la oportunidad legal de analizarlas ni de pronunciarse sobre ellas; atento a ello, la Ponencia Resolutora debió dejar a salvo los derechos del </w:t>
      </w:r>
      <w:r w:rsidRPr="001F74C2">
        <w:rPr>
          <w:rFonts w:ascii="Palatino Linotype" w:hAnsi="Palatino Linotype" w:cs="Arial"/>
          <w:b/>
        </w:rPr>
        <w:t>RECURRENTE,</w:t>
      </w:r>
      <w:r w:rsidRPr="001F74C2">
        <w:rPr>
          <w:rFonts w:ascii="Palatino Linotype" w:hAnsi="Palatino Linotype" w:cs="Arial"/>
        </w:rPr>
        <w:t xml:space="preserve"> a fin de que pudiera formular una nueva solicitud requiriendo el acceso a la información pública que su derecho corresponda.</w:t>
      </w:r>
    </w:p>
    <w:p w:rsidR="00E0177B" w:rsidRPr="001F74C2" w:rsidRDefault="00E0177B" w:rsidP="00E0177B">
      <w:pPr>
        <w:spacing w:before="100" w:beforeAutospacing="1" w:after="100" w:afterAutospacing="1" w:line="360" w:lineRule="auto"/>
        <w:jc w:val="both"/>
        <w:rPr>
          <w:rFonts w:ascii="Palatino Linotype" w:hAnsi="Palatino Linotype" w:cs="Arial"/>
          <w:lang w:eastAsia="es-MX"/>
        </w:rPr>
      </w:pPr>
      <w:r w:rsidRPr="001F74C2">
        <w:rPr>
          <w:rFonts w:ascii="Palatino Linotype" w:hAnsi="Palatino Linotype" w:cs="Arial"/>
          <w:lang w:eastAsia="es-MX"/>
        </w:rPr>
        <w:t xml:space="preserve">En conclusión, </w:t>
      </w:r>
      <w:r w:rsidR="000B74DA">
        <w:rPr>
          <w:rFonts w:ascii="Palatino Linotype" w:hAnsi="Palatino Linotype" w:cs="Arial"/>
          <w:lang w:eastAsia="es-MX"/>
        </w:rPr>
        <w:t>la que suscribe reitera que, al</w:t>
      </w:r>
      <w:r w:rsidRPr="001F74C2">
        <w:rPr>
          <w:rFonts w:ascii="Palatino Linotype" w:hAnsi="Palatino Linotype" w:cs="Arial"/>
          <w:lang w:eastAsia="es-MX"/>
        </w:rPr>
        <w:t xml:space="preserve"> momento de someterse a aprobación del Pleno de este Instituto</w:t>
      </w:r>
      <w:r w:rsidR="000B74DA">
        <w:rPr>
          <w:rFonts w:ascii="Palatino Linotype" w:hAnsi="Palatino Linotype" w:cs="Arial"/>
          <w:lang w:eastAsia="es-MX"/>
        </w:rPr>
        <w:t xml:space="preserve">, en el Recurso de Revisión de que se trata </w:t>
      </w:r>
      <w:r w:rsidRPr="001F74C2">
        <w:rPr>
          <w:rFonts w:ascii="Palatino Linotype" w:hAnsi="Palatino Linotype" w:cs="Arial"/>
          <w:lang w:eastAsia="es-MX"/>
        </w:rPr>
        <w:t>a</w:t>
      </w:r>
      <w:r>
        <w:rPr>
          <w:rFonts w:ascii="Palatino Linotype" w:hAnsi="Palatino Linotype" w:cs="Arial"/>
          <w:lang w:eastAsia="es-MX"/>
        </w:rPr>
        <w:t>ú</w:t>
      </w:r>
      <w:r w:rsidRPr="001F74C2">
        <w:rPr>
          <w:rFonts w:ascii="Palatino Linotype" w:hAnsi="Palatino Linotype" w:cs="Arial"/>
          <w:lang w:eastAsia="es-MX"/>
        </w:rPr>
        <w:t xml:space="preserve">n no había operado la figura de cosa juzgada y, además, estima que la Ponencia Resolutora debió haber analizado la petición adicional requerida por </w:t>
      </w:r>
      <w:r w:rsidRPr="001F74C2">
        <w:rPr>
          <w:rFonts w:ascii="Palatino Linotype" w:hAnsi="Palatino Linotype" w:cs="Arial"/>
          <w:b/>
          <w:lang w:eastAsia="es-MX"/>
        </w:rPr>
        <w:t>EL RECURRENTE</w:t>
      </w:r>
      <w:r w:rsidRPr="001F74C2">
        <w:rPr>
          <w:rFonts w:ascii="Palatino Linotype" w:hAnsi="Palatino Linotype" w:cs="Arial"/>
          <w:lang w:eastAsia="es-MX"/>
        </w:rPr>
        <w:t xml:space="preserve"> y dejar a salvo sus derechos para que pudiera formularla en una nueva solic</w:t>
      </w:r>
      <w:r w:rsidR="000B74DA">
        <w:rPr>
          <w:rFonts w:ascii="Palatino Linotype" w:hAnsi="Palatino Linotype" w:cs="Arial"/>
          <w:lang w:eastAsia="es-MX"/>
        </w:rPr>
        <w:t>itud de acceso a la información, aunado a que del comparativo de las solicitudes, se advierte un requerimiento adicional, mismo que no fue abordado por la Ponencia Resolutora.</w:t>
      </w:r>
    </w:p>
    <w:p w:rsidR="00E0177B" w:rsidRDefault="00E0177B" w:rsidP="00535456">
      <w:pPr>
        <w:jc w:val="center"/>
        <w:rPr>
          <w:rFonts w:ascii="Palatino Linotype" w:hAnsi="Palatino Linotype"/>
          <w:b/>
        </w:rPr>
      </w:pPr>
    </w:p>
    <w:p w:rsidR="000B74DA" w:rsidRDefault="000B74DA" w:rsidP="00535456">
      <w:pPr>
        <w:jc w:val="center"/>
        <w:rPr>
          <w:rFonts w:ascii="Palatino Linotype" w:hAnsi="Palatino Linotype"/>
          <w:b/>
        </w:rPr>
      </w:pPr>
    </w:p>
    <w:p w:rsidR="001701C9" w:rsidRDefault="001701C9" w:rsidP="00535456">
      <w:pPr>
        <w:jc w:val="center"/>
        <w:rPr>
          <w:rFonts w:ascii="Palatino Linotype" w:hAnsi="Palatino Linotype"/>
          <w:b/>
        </w:rPr>
      </w:pPr>
    </w:p>
    <w:p w:rsidR="001701C9" w:rsidRDefault="001701C9" w:rsidP="00535456">
      <w:pPr>
        <w:jc w:val="center"/>
        <w:rPr>
          <w:rFonts w:ascii="Palatino Linotype" w:hAnsi="Palatino Linotype"/>
          <w:b/>
        </w:rPr>
      </w:pPr>
    </w:p>
    <w:p w:rsidR="001701C9" w:rsidRDefault="001701C9" w:rsidP="00535456">
      <w:pPr>
        <w:jc w:val="center"/>
        <w:rPr>
          <w:rFonts w:ascii="Palatino Linotype" w:hAnsi="Palatino Linotype"/>
          <w:b/>
        </w:rPr>
      </w:pPr>
    </w:p>
    <w:p w:rsidR="00670931" w:rsidRPr="00535456" w:rsidRDefault="00670931" w:rsidP="00535456">
      <w:pPr>
        <w:jc w:val="center"/>
        <w:rPr>
          <w:rFonts w:ascii="Palatino Linotype" w:hAnsi="Palatino Linotype"/>
          <w:b/>
        </w:rPr>
      </w:pPr>
      <w:r w:rsidRPr="00535456">
        <w:rPr>
          <w:rFonts w:ascii="Palatino Linotype" w:hAnsi="Palatino Linotype"/>
          <w:b/>
        </w:rPr>
        <w:t>EVA ABAID YAPUR</w:t>
      </w:r>
    </w:p>
    <w:p w:rsidR="00670931" w:rsidRDefault="00670931" w:rsidP="00535456">
      <w:pPr>
        <w:jc w:val="center"/>
        <w:rPr>
          <w:rFonts w:ascii="Palatino Linotype" w:hAnsi="Palatino Linotype"/>
          <w:b/>
        </w:rPr>
      </w:pPr>
      <w:r w:rsidRPr="00535456">
        <w:rPr>
          <w:rFonts w:ascii="Palatino Linotype" w:hAnsi="Palatino Linotype"/>
          <w:b/>
        </w:rPr>
        <w:t>COMISIONADA</w:t>
      </w:r>
    </w:p>
    <w:p w:rsidR="002D4A13" w:rsidRPr="00535456" w:rsidRDefault="002D4A13" w:rsidP="00535456">
      <w:pPr>
        <w:jc w:val="center"/>
        <w:rPr>
          <w:rFonts w:ascii="Palatino Linotype" w:hAnsi="Palatino Linotype"/>
          <w:b/>
        </w:rPr>
      </w:pPr>
      <w:bookmarkStart w:id="0" w:name="_GoBack"/>
      <w:r>
        <w:rPr>
          <w:rFonts w:ascii="Palatino Linotype" w:hAnsi="Palatino Linotype"/>
          <w:b/>
        </w:rPr>
        <w:t>(RÚBRICA)</w:t>
      </w:r>
    </w:p>
    <w:bookmarkEnd w:id="0"/>
    <w:p w:rsidR="00E11822" w:rsidRPr="001701C9" w:rsidRDefault="00E11822" w:rsidP="001701C9">
      <w:pPr>
        <w:rPr>
          <w:rFonts w:ascii="Palatino Linotype" w:hAnsi="Palatino Linotype"/>
          <w:b/>
          <w:sz w:val="10"/>
          <w:szCs w:val="10"/>
        </w:rPr>
      </w:pPr>
    </w:p>
    <w:p w:rsidR="00D36CA8" w:rsidRPr="00535456"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DB32E2">
        <w:rPr>
          <w:rFonts w:ascii="Palatino Linotype" w:eastAsia="Calibri" w:hAnsi="Palatino Linotype" w:cs="Arial"/>
          <w:sz w:val="20"/>
        </w:rPr>
        <w:t>3</w:t>
      </w:r>
      <w:r w:rsidR="004D5015">
        <w:rPr>
          <w:rFonts w:ascii="Palatino Linotype" w:eastAsia="Calibri" w:hAnsi="Palatino Linotype" w:cs="Arial"/>
          <w:sz w:val="20"/>
        </w:rPr>
        <w:t>59</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97B" w:rsidRDefault="00F7597B" w:rsidP="00DB3A83">
      <w:r>
        <w:separator/>
      </w:r>
    </w:p>
  </w:endnote>
  <w:endnote w:type="continuationSeparator" w:id="0">
    <w:p w:rsidR="00F7597B" w:rsidRDefault="00F7597B"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4A1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4A1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97B" w:rsidRDefault="00F7597B" w:rsidP="00DB3A83">
      <w:r>
        <w:separator/>
      </w:r>
    </w:p>
  </w:footnote>
  <w:footnote w:type="continuationSeparator" w:id="0">
    <w:p w:rsidR="00F7597B" w:rsidRDefault="00F7597B"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1701C9"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1701C9"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1701C9"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04359</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2D4A13"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40.05pt;height:88.9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90B6C"/>
    <w:rsid w:val="000936CE"/>
    <w:rsid w:val="000B471A"/>
    <w:rsid w:val="000B74DA"/>
    <w:rsid w:val="000C3264"/>
    <w:rsid w:val="000C5CF3"/>
    <w:rsid w:val="000D7C3A"/>
    <w:rsid w:val="000E2C82"/>
    <w:rsid w:val="000F0C55"/>
    <w:rsid w:val="000F4E57"/>
    <w:rsid w:val="00117480"/>
    <w:rsid w:val="00131CAC"/>
    <w:rsid w:val="0013225E"/>
    <w:rsid w:val="001701C9"/>
    <w:rsid w:val="00177DF1"/>
    <w:rsid w:val="00191CF3"/>
    <w:rsid w:val="001976FE"/>
    <w:rsid w:val="001B6DD5"/>
    <w:rsid w:val="001C04AC"/>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D4A13"/>
    <w:rsid w:val="002E01EA"/>
    <w:rsid w:val="002F7B17"/>
    <w:rsid w:val="00303EAE"/>
    <w:rsid w:val="00324EBE"/>
    <w:rsid w:val="00340950"/>
    <w:rsid w:val="00343E64"/>
    <w:rsid w:val="0037730C"/>
    <w:rsid w:val="00387039"/>
    <w:rsid w:val="0039638A"/>
    <w:rsid w:val="003A6BF6"/>
    <w:rsid w:val="003B0314"/>
    <w:rsid w:val="003C2F6A"/>
    <w:rsid w:val="003C5476"/>
    <w:rsid w:val="003F730A"/>
    <w:rsid w:val="00403656"/>
    <w:rsid w:val="004275EC"/>
    <w:rsid w:val="00437359"/>
    <w:rsid w:val="00460F1A"/>
    <w:rsid w:val="00464124"/>
    <w:rsid w:val="00474B93"/>
    <w:rsid w:val="00487B66"/>
    <w:rsid w:val="004B5C25"/>
    <w:rsid w:val="004B6DDA"/>
    <w:rsid w:val="004D5015"/>
    <w:rsid w:val="005124B3"/>
    <w:rsid w:val="0053148C"/>
    <w:rsid w:val="00535456"/>
    <w:rsid w:val="00536147"/>
    <w:rsid w:val="00553BC6"/>
    <w:rsid w:val="0057297A"/>
    <w:rsid w:val="00584608"/>
    <w:rsid w:val="005A4D7F"/>
    <w:rsid w:val="005B3099"/>
    <w:rsid w:val="005E5BA4"/>
    <w:rsid w:val="00623D4F"/>
    <w:rsid w:val="00654FE9"/>
    <w:rsid w:val="00666737"/>
    <w:rsid w:val="00670931"/>
    <w:rsid w:val="006801D4"/>
    <w:rsid w:val="006A33F9"/>
    <w:rsid w:val="006B0D54"/>
    <w:rsid w:val="006B2453"/>
    <w:rsid w:val="006B30CD"/>
    <w:rsid w:val="006C63C4"/>
    <w:rsid w:val="006C7D0A"/>
    <w:rsid w:val="006D731E"/>
    <w:rsid w:val="006E747E"/>
    <w:rsid w:val="007120B0"/>
    <w:rsid w:val="007162A6"/>
    <w:rsid w:val="00731320"/>
    <w:rsid w:val="00740E0B"/>
    <w:rsid w:val="007745F0"/>
    <w:rsid w:val="00782A45"/>
    <w:rsid w:val="0078728C"/>
    <w:rsid w:val="00793F60"/>
    <w:rsid w:val="007B2AC3"/>
    <w:rsid w:val="007C63BC"/>
    <w:rsid w:val="007C7A0C"/>
    <w:rsid w:val="007D2E51"/>
    <w:rsid w:val="00811B0B"/>
    <w:rsid w:val="008122B6"/>
    <w:rsid w:val="00813CD1"/>
    <w:rsid w:val="00820DBE"/>
    <w:rsid w:val="00823404"/>
    <w:rsid w:val="00854CEE"/>
    <w:rsid w:val="00862F43"/>
    <w:rsid w:val="00864D3F"/>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863E9"/>
    <w:rsid w:val="00A95F70"/>
    <w:rsid w:val="00A96975"/>
    <w:rsid w:val="00AA09B9"/>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5E6A"/>
    <w:rsid w:val="00D724F4"/>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B1D9E"/>
    <w:rsid w:val="00EE5465"/>
    <w:rsid w:val="00EF530D"/>
    <w:rsid w:val="00F054F8"/>
    <w:rsid w:val="00F10238"/>
    <w:rsid w:val="00F2362C"/>
    <w:rsid w:val="00F33B5B"/>
    <w:rsid w:val="00F37E80"/>
    <w:rsid w:val="00F425D2"/>
    <w:rsid w:val="00F441FF"/>
    <w:rsid w:val="00F51491"/>
    <w:rsid w:val="00F579EE"/>
    <w:rsid w:val="00F64CC1"/>
    <w:rsid w:val="00F733A3"/>
    <w:rsid w:val="00F7597B"/>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A131-7D61-499B-A15E-D1EE2026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1384</Words>
  <Characters>7617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2019-02-05T18:30:00Z</cp:lastPrinted>
  <dcterms:created xsi:type="dcterms:W3CDTF">2019-02-15T18:59:00Z</dcterms:created>
  <dcterms:modified xsi:type="dcterms:W3CDTF">2019-03-15T00:31:00Z</dcterms:modified>
</cp:coreProperties>
</file>